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3168" w14:textId="2A846105" w:rsidR="006A337C" w:rsidRPr="009C2212" w:rsidRDefault="006A337C" w:rsidP="006A337C">
      <w:pPr>
        <w:suppressAutoHyphens/>
        <w:autoSpaceDN w:val="0"/>
        <w:textAlignment w:val="baseline"/>
        <w:rPr>
          <w:rFonts w:eastAsia="Calibri" w:cs="Times New Roman"/>
          <w:lang w:val="en-GB"/>
        </w:rPr>
      </w:pPr>
      <w:r w:rsidRPr="009C2212">
        <w:rPr>
          <w:rFonts w:ascii="Impossibilium (BRK)" w:eastAsia="Calibri" w:hAnsi="Impossibilium (BRK)" w:cs="Times New Roman"/>
          <w:b/>
          <w:sz w:val="48"/>
          <w:szCs w:val="48"/>
          <w:lang w:val="en-GB"/>
        </w:rPr>
        <w:t xml:space="preserve">Later Middle Ages -- </w:t>
      </w:r>
      <w:r w:rsidRPr="009C2212">
        <w:rPr>
          <w:rFonts w:ascii="Cambria" w:eastAsia="Calibri" w:hAnsi="Cambria" w:cs="Times New Roman"/>
          <w:b/>
          <w:sz w:val="48"/>
          <w:szCs w:val="48"/>
          <w:lang w:val="en-GB"/>
        </w:rPr>
        <w:t>~</w:t>
      </w:r>
      <w:r w:rsidRPr="009C2212">
        <w:rPr>
          <w:rFonts w:ascii="Impossibilium (BRK)" w:eastAsia="Calibri" w:hAnsi="Impossibilium (BRK)" w:cs="Times New Roman"/>
          <w:b/>
          <w:bCs/>
          <w:sz w:val="48"/>
          <w:szCs w:val="48"/>
          <w:lang w:val="en-GB"/>
        </w:rPr>
        <w:t>1000-~1500</w:t>
      </w:r>
      <w:r w:rsidRPr="009C2212">
        <w:rPr>
          <w:rFonts w:ascii="Impossibilium (BRK)" w:eastAsia="Calibri" w:hAnsi="Impossibilium (BRK)" w:cs="Times New Roman"/>
          <w:b/>
          <w:sz w:val="48"/>
          <w:szCs w:val="48"/>
          <w:lang w:val="en-GB"/>
        </w:rPr>
        <w:t xml:space="preserve"> ce/</w:t>
      </w:r>
      <w:r w:rsidR="00C47B0B">
        <w:rPr>
          <w:rFonts w:ascii="Impossibilium (BRK)" w:eastAsia="Calibri" w:hAnsi="Impossibilium (BRK)" w:cs="Times New Roman"/>
          <w:b/>
          <w:sz w:val="48"/>
          <w:szCs w:val="48"/>
          <w:lang w:val="en-GB"/>
        </w:rPr>
        <w:t>8</w:t>
      </w:r>
    </w:p>
    <w:p w14:paraId="6118064C" w14:textId="69A7E5CF" w:rsidR="006A337C" w:rsidRDefault="006A337C" w:rsidP="006A337C">
      <w:pPr>
        <w:rPr>
          <w:rFonts w:ascii="Verdana" w:hAnsi="Verdana"/>
          <w:szCs w:val="24"/>
          <w:lang w:val="en-GB"/>
        </w:rPr>
      </w:pPr>
    </w:p>
    <w:p w14:paraId="6C723A76" w14:textId="77777777" w:rsidR="006A337C" w:rsidRPr="009C2212" w:rsidRDefault="006A337C" w:rsidP="006A337C">
      <w:pPr>
        <w:rPr>
          <w:rFonts w:ascii="Verdana" w:hAnsi="Verdana"/>
          <w:b/>
          <w:bCs/>
          <w:szCs w:val="24"/>
          <w:lang w:val="en-GB"/>
        </w:rPr>
      </w:pPr>
      <w:r w:rsidRPr="009C2212">
        <w:rPr>
          <w:rFonts w:ascii="Verdana" w:hAnsi="Verdana"/>
          <w:b/>
          <w:bCs/>
          <w:szCs w:val="24"/>
          <w:lang w:val="en-GB"/>
        </w:rPr>
        <w:t>1195</w:t>
      </w:r>
    </w:p>
    <w:p w14:paraId="7539B2E8" w14:textId="6B18C1B5" w:rsidR="006A337C" w:rsidRPr="009C2212" w:rsidRDefault="006A337C" w:rsidP="006A337C">
      <w:pPr>
        <w:rPr>
          <w:rFonts w:ascii="Verdana" w:hAnsi="Verdana"/>
          <w:szCs w:val="24"/>
          <w:lang w:val="en-GB"/>
        </w:rPr>
      </w:pPr>
      <w:r>
        <w:rPr>
          <w:rFonts w:ascii="Verdana" w:hAnsi="Verdana"/>
          <w:szCs w:val="24"/>
          <w:lang w:val="en-GB"/>
        </w:rPr>
        <w:t>E</w:t>
      </w:r>
      <w:r w:rsidRPr="009C2212">
        <w:rPr>
          <w:rFonts w:ascii="Verdana" w:hAnsi="Verdana"/>
          <w:szCs w:val="24"/>
          <w:lang w:val="en-GB"/>
        </w:rPr>
        <w:t xml:space="preserve">nactment of early statutory laws, legificating </w:t>
      </w:r>
      <w:r w:rsidR="00407D4E">
        <w:rPr>
          <w:rFonts w:ascii="Verdana" w:hAnsi="Verdana"/>
          <w:szCs w:val="24"/>
          <w:lang w:val="en-GB"/>
        </w:rPr>
        <w:t>j</w:t>
      </w:r>
      <w:r w:rsidRPr="009C2212">
        <w:rPr>
          <w:rFonts w:ascii="Verdana" w:hAnsi="Verdana"/>
          <w:szCs w:val="24"/>
          <w:lang w:val="en-GB"/>
        </w:rPr>
        <w:t>udicial customs so that the outcome of litigation can be consistent</w:t>
      </w:r>
      <w:r>
        <w:rPr>
          <w:rFonts w:ascii="Verdana" w:hAnsi="Verdana"/>
          <w:szCs w:val="24"/>
          <w:lang w:val="en-GB"/>
        </w:rPr>
        <w:t>.</w:t>
      </w:r>
    </w:p>
    <w:p w14:paraId="419159CE" w14:textId="77777777" w:rsidR="006A337C" w:rsidRDefault="006A337C" w:rsidP="006A337C">
      <w:pPr>
        <w:rPr>
          <w:rFonts w:ascii="Verdana" w:hAnsi="Verdana"/>
          <w:szCs w:val="24"/>
          <w:lang w:val="en-GB"/>
        </w:rPr>
      </w:pPr>
      <w:r>
        <w:rPr>
          <w:rFonts w:ascii="Verdana" w:hAnsi="Verdana"/>
          <w:szCs w:val="24"/>
          <w:lang w:val="en-GB"/>
        </w:rPr>
        <w:t>There is a clear d</w:t>
      </w:r>
      <w:r w:rsidRPr="009C2212">
        <w:rPr>
          <w:rFonts w:ascii="Verdana" w:hAnsi="Verdana"/>
          <w:szCs w:val="24"/>
          <w:lang w:val="en-GB"/>
        </w:rPr>
        <w:t>ifference between ordinary legislation by the Councils, touching on occasional matters</w:t>
      </w:r>
      <w:r>
        <w:rPr>
          <w:rFonts w:ascii="Verdana" w:hAnsi="Verdana"/>
          <w:szCs w:val="24"/>
          <w:lang w:val="en-GB"/>
        </w:rPr>
        <w:t>,</w:t>
      </w:r>
      <w:r w:rsidRPr="009C2212">
        <w:rPr>
          <w:rFonts w:ascii="Verdana" w:hAnsi="Verdana"/>
          <w:szCs w:val="24"/>
          <w:lang w:val="en-GB"/>
        </w:rPr>
        <w:t xml:space="preserve"> and statutory legislation, stating general rules of law; the latter must also be made known and approved by the </w:t>
      </w:r>
      <w:r w:rsidRPr="009C2212">
        <w:rPr>
          <w:rFonts w:ascii="Verdana" w:hAnsi="Verdana"/>
          <w:i/>
          <w:iCs/>
          <w:szCs w:val="24"/>
          <w:lang w:val="en-GB"/>
        </w:rPr>
        <w:t>placitum</w:t>
      </w:r>
      <w:r w:rsidRPr="009C2212">
        <w:rPr>
          <w:rFonts w:ascii="Verdana" w:hAnsi="Verdana"/>
          <w:szCs w:val="24"/>
          <w:lang w:val="en-GB"/>
        </w:rPr>
        <w:t xml:space="preserve"> (as a form of instantaneous custom!)</w:t>
      </w:r>
    </w:p>
    <w:p w14:paraId="4D5B0F34" w14:textId="725C69D3" w:rsidR="00E87FD0" w:rsidRDefault="0057205D">
      <w:pPr>
        <w:rPr>
          <w:rStyle w:val="Collegamentoipertestuale"/>
          <w:rFonts w:ascii="Verdana" w:hAnsi="Verdana"/>
          <w:szCs w:val="24"/>
          <w:lang w:val="en-GB"/>
        </w:rPr>
      </w:pPr>
      <w:hyperlink r:id="rId4" w:history="1">
        <w:r w:rsidR="006A337C" w:rsidRPr="009C2212">
          <w:rPr>
            <w:rStyle w:val="Collegamentoipertestuale"/>
            <w:rFonts w:ascii="Verdana" w:hAnsi="Verdana"/>
            <w:szCs w:val="24"/>
            <w:lang w:val="en-GB"/>
          </w:rPr>
          <w:t>http://www.arielcaliban.org/PX_early-statutes.pdf</w:t>
        </w:r>
      </w:hyperlink>
    </w:p>
    <w:p w14:paraId="5E54A55B" w14:textId="70588EDD" w:rsidR="000970AD" w:rsidRPr="000970AD" w:rsidRDefault="000970AD">
      <w:pPr>
        <w:rPr>
          <w:rStyle w:val="Collegamentoipertestuale"/>
          <w:rFonts w:ascii="Verdana" w:hAnsi="Verdana"/>
          <w:color w:val="auto"/>
          <w:szCs w:val="24"/>
          <w:lang w:val="en-GB"/>
        </w:rPr>
      </w:pPr>
    </w:p>
    <w:p w14:paraId="1D83C211" w14:textId="77777777" w:rsidR="000970AD" w:rsidRPr="000970AD" w:rsidRDefault="000970AD" w:rsidP="002937D8">
      <w:pPr>
        <w:rPr>
          <w:rFonts w:ascii="Verdana" w:hAnsi="Verdana"/>
          <w:b/>
          <w:bCs/>
          <w:szCs w:val="24"/>
          <w:lang w:val="en-GB"/>
        </w:rPr>
      </w:pPr>
      <w:r w:rsidRPr="000970AD">
        <w:rPr>
          <w:rFonts w:ascii="Verdana" w:hAnsi="Verdana"/>
          <w:b/>
          <w:bCs/>
          <w:szCs w:val="24"/>
          <w:lang w:val="en-GB"/>
        </w:rPr>
        <w:t>early XIII century</w:t>
      </w:r>
    </w:p>
    <w:p w14:paraId="62B8CDF5" w14:textId="2ECFEB0D" w:rsidR="000970AD" w:rsidRPr="000970AD" w:rsidRDefault="000970AD" w:rsidP="002937D8">
      <w:pPr>
        <w:rPr>
          <w:rFonts w:ascii="Verdana" w:hAnsi="Verdana"/>
          <w:szCs w:val="24"/>
          <w:lang w:val="en-GB"/>
        </w:rPr>
      </w:pPr>
      <w:r w:rsidRPr="000970AD">
        <w:rPr>
          <w:rFonts w:ascii="Verdana" w:hAnsi="Verdana"/>
          <w:szCs w:val="24"/>
          <w:lang w:val="en-GB"/>
        </w:rPr>
        <w:t xml:space="preserve">The Glossators in Bologna and in the other universities are developing the knowledge and use of Justinian's compilation as the ultimate supplementary law, completing the discipline of particular sources like statutes and customs; </w:t>
      </w:r>
      <w:r w:rsidRPr="000970AD">
        <w:rPr>
          <w:rFonts w:ascii="Verdana" w:hAnsi="Verdana"/>
          <w:i/>
          <w:iCs/>
          <w:szCs w:val="24"/>
          <w:lang w:val="en-GB"/>
        </w:rPr>
        <w:t>Summa Codicis</w:t>
      </w:r>
      <w:r w:rsidRPr="000970AD">
        <w:rPr>
          <w:rFonts w:ascii="Verdana" w:hAnsi="Verdana"/>
          <w:szCs w:val="24"/>
          <w:lang w:val="en-GB"/>
        </w:rPr>
        <w:t xml:space="preserve"> by Azzo</w:t>
      </w:r>
      <w:r w:rsidR="006A07C9">
        <w:rPr>
          <w:rFonts w:ascii="Verdana" w:hAnsi="Verdana"/>
          <w:szCs w:val="24"/>
          <w:lang w:val="en-GB"/>
        </w:rPr>
        <w:t>.</w:t>
      </w:r>
    </w:p>
    <w:p w14:paraId="3D11B45D" w14:textId="77777777" w:rsidR="000970AD" w:rsidRPr="000970AD" w:rsidRDefault="000970AD" w:rsidP="002937D8">
      <w:pPr>
        <w:rPr>
          <w:rFonts w:ascii="Verdana" w:hAnsi="Verdana"/>
          <w:szCs w:val="24"/>
          <w:lang w:val="en-GB"/>
        </w:rPr>
      </w:pPr>
    </w:p>
    <w:p w14:paraId="6B413ACF" w14:textId="7A1B65A3" w:rsidR="000970AD" w:rsidRPr="000970AD" w:rsidRDefault="000970AD" w:rsidP="002937D8">
      <w:pPr>
        <w:rPr>
          <w:rFonts w:ascii="Verdana" w:hAnsi="Verdana"/>
          <w:szCs w:val="24"/>
          <w:lang w:val="en-GB"/>
        </w:rPr>
      </w:pPr>
      <w:r w:rsidRPr="000970AD">
        <w:rPr>
          <w:rFonts w:ascii="Verdana" w:hAnsi="Verdana"/>
          <w:szCs w:val="24"/>
          <w:lang w:val="en-GB"/>
        </w:rPr>
        <w:t xml:space="preserve">The Comune is not bound to enact the "imperial" legal system, which remains one of the many laws followed by foreigners; a few antiquated hints about Roman law are collected in </w:t>
      </w:r>
      <w:r w:rsidRPr="000970AD">
        <w:rPr>
          <w:rFonts w:ascii="Verdana" w:hAnsi="Verdana"/>
          <w:i/>
          <w:iCs/>
          <w:szCs w:val="24"/>
          <w:lang w:val="en-GB"/>
        </w:rPr>
        <w:t>Ratio de lege Romana</w:t>
      </w:r>
      <w:r w:rsidRPr="000970AD">
        <w:rPr>
          <w:rFonts w:ascii="Verdana" w:hAnsi="Verdana"/>
          <w:szCs w:val="24"/>
          <w:lang w:val="en-GB"/>
        </w:rPr>
        <w:t xml:space="preserve">, </w:t>
      </w:r>
      <w:r>
        <w:rPr>
          <w:rFonts w:ascii="Verdana" w:hAnsi="Verdana"/>
          <w:szCs w:val="24"/>
          <w:lang w:val="en-GB"/>
        </w:rPr>
        <w:t xml:space="preserve">an unofficial text </w:t>
      </w:r>
      <w:r w:rsidRPr="000970AD">
        <w:rPr>
          <w:rFonts w:ascii="Verdana" w:hAnsi="Verdana"/>
          <w:szCs w:val="24"/>
          <w:lang w:val="en-GB"/>
        </w:rPr>
        <w:t>taken from a short handbook written before Irnerius.</w:t>
      </w:r>
    </w:p>
    <w:p w14:paraId="36073AF5" w14:textId="77777777" w:rsidR="00407D4E" w:rsidRPr="000970AD" w:rsidRDefault="00407D4E" w:rsidP="00407D4E">
      <w:pPr>
        <w:rPr>
          <w:rFonts w:ascii="Verdana" w:hAnsi="Verdana"/>
          <w:szCs w:val="24"/>
          <w:lang w:val="en-GB"/>
        </w:rPr>
      </w:pPr>
      <w:r>
        <w:rPr>
          <w:rFonts w:ascii="Verdana" w:hAnsi="Verdana"/>
          <w:szCs w:val="24"/>
          <w:lang w:val="en-GB"/>
        </w:rPr>
        <w:t xml:space="preserve">About the same time another private collection is circulating: </w:t>
      </w:r>
      <w:r w:rsidRPr="000970AD">
        <w:rPr>
          <w:rFonts w:ascii="Verdana" w:hAnsi="Verdana"/>
          <w:i/>
          <w:iCs/>
          <w:szCs w:val="24"/>
          <w:lang w:val="en-GB"/>
        </w:rPr>
        <w:t>Iudicia a probis iudicibus promulgata</w:t>
      </w:r>
      <w:r w:rsidRPr="000970AD">
        <w:rPr>
          <w:rFonts w:ascii="Verdana" w:hAnsi="Verdana"/>
          <w:szCs w:val="24"/>
          <w:lang w:val="en-GB"/>
        </w:rPr>
        <w:t xml:space="preserve">: an anonymous collection of solved cases, useful as instances of </w:t>
      </w:r>
      <w:r>
        <w:rPr>
          <w:rFonts w:ascii="Verdana" w:hAnsi="Verdana"/>
          <w:szCs w:val="24"/>
          <w:lang w:val="en-GB"/>
        </w:rPr>
        <w:t xml:space="preserve">the </w:t>
      </w:r>
      <w:r w:rsidRPr="000970AD">
        <w:rPr>
          <w:rFonts w:ascii="Verdana" w:hAnsi="Verdana"/>
          <w:szCs w:val="24"/>
          <w:lang w:val="en-GB"/>
        </w:rPr>
        <w:t>jud</w:t>
      </w:r>
      <w:r>
        <w:rPr>
          <w:rFonts w:ascii="Verdana" w:hAnsi="Verdana"/>
          <w:szCs w:val="24"/>
          <w:lang w:val="en-GB"/>
        </w:rPr>
        <w:t>i</w:t>
      </w:r>
      <w:r w:rsidRPr="000970AD">
        <w:rPr>
          <w:rFonts w:ascii="Verdana" w:hAnsi="Verdana"/>
          <w:szCs w:val="24"/>
          <w:lang w:val="en-GB"/>
        </w:rPr>
        <w:t>cial customs followed by the Curie</w:t>
      </w:r>
      <w:r>
        <w:rPr>
          <w:rFonts w:ascii="Verdana" w:hAnsi="Verdana"/>
          <w:szCs w:val="24"/>
          <w:lang w:val="en-GB"/>
        </w:rPr>
        <w:t>.</w:t>
      </w:r>
    </w:p>
    <w:p w14:paraId="39750327" w14:textId="60915607" w:rsidR="000970AD" w:rsidRPr="006A07C9" w:rsidRDefault="0057205D" w:rsidP="002937D8">
      <w:pPr>
        <w:rPr>
          <w:rFonts w:ascii="Verdana" w:hAnsi="Verdana"/>
          <w:szCs w:val="24"/>
          <w:lang w:val="en-GB"/>
        </w:rPr>
      </w:pPr>
      <w:hyperlink r:id="rId5" w:history="1">
        <w:r w:rsidR="000970AD" w:rsidRPr="006A07C9">
          <w:rPr>
            <w:rStyle w:val="Collegamentoipertestuale"/>
            <w:rFonts w:ascii="Verdana" w:hAnsi="Verdana"/>
            <w:szCs w:val="24"/>
            <w:lang w:val="en-GB"/>
          </w:rPr>
          <w:t>http://www.arielcaliban.org/PX_ratio.pdf</w:t>
        </w:r>
      </w:hyperlink>
    </w:p>
    <w:p w14:paraId="5906D30C" w14:textId="665651A0" w:rsidR="000970AD" w:rsidRDefault="000970AD" w:rsidP="002937D8">
      <w:pPr>
        <w:rPr>
          <w:rFonts w:ascii="Verdana" w:hAnsi="Verdana"/>
          <w:szCs w:val="24"/>
          <w:lang w:val="en-GB"/>
        </w:rPr>
      </w:pPr>
    </w:p>
    <w:sectPr w:rsidR="000970AD" w:rsidSect="009010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7C"/>
    <w:rsid w:val="000970AD"/>
    <w:rsid w:val="001F16FA"/>
    <w:rsid w:val="002D7B22"/>
    <w:rsid w:val="00407D4E"/>
    <w:rsid w:val="00496CE5"/>
    <w:rsid w:val="005635EC"/>
    <w:rsid w:val="0057205D"/>
    <w:rsid w:val="006169DA"/>
    <w:rsid w:val="00682FF7"/>
    <w:rsid w:val="006A07C9"/>
    <w:rsid w:val="006A337C"/>
    <w:rsid w:val="006C6915"/>
    <w:rsid w:val="006F3803"/>
    <w:rsid w:val="0074137E"/>
    <w:rsid w:val="0090107D"/>
    <w:rsid w:val="009550B3"/>
    <w:rsid w:val="00A27B90"/>
    <w:rsid w:val="00A53687"/>
    <w:rsid w:val="00A54F64"/>
    <w:rsid w:val="00C47B0B"/>
    <w:rsid w:val="00D205DE"/>
    <w:rsid w:val="00D46E81"/>
    <w:rsid w:val="00E87FD0"/>
    <w:rsid w:val="00F96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930D"/>
  <w15:chartTrackingRefBased/>
  <w15:docId w15:val="{569E3DF7-8A54-496E-B206-1D14A85C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37C"/>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O">
    <w:name w:val="MIO"/>
    <w:basedOn w:val="Normale"/>
    <w:link w:val="MIOCarattere"/>
    <w:qFormat/>
    <w:rsid w:val="00F96260"/>
  </w:style>
  <w:style w:type="character" w:customStyle="1" w:styleId="MIOCarattere">
    <w:name w:val="MIO Carattere"/>
    <w:basedOn w:val="Carpredefinitoparagrafo"/>
    <w:link w:val="MIO"/>
    <w:rsid w:val="00F96260"/>
    <w:rPr>
      <w:rFonts w:ascii="Times New Roman" w:hAnsi="Times New Roman"/>
      <w:sz w:val="24"/>
    </w:rPr>
  </w:style>
  <w:style w:type="character" w:styleId="Collegamentoipertestuale">
    <w:name w:val="Hyperlink"/>
    <w:basedOn w:val="Carpredefinitoparagrafo"/>
    <w:uiPriority w:val="99"/>
    <w:unhideWhenUsed/>
    <w:rsid w:val="006A337C"/>
    <w:rPr>
      <w:color w:val="0000FF" w:themeColor="hyperlink"/>
      <w:u w:val="single"/>
    </w:rPr>
  </w:style>
  <w:style w:type="character" w:styleId="Collegamentovisitato">
    <w:name w:val="FollowedHyperlink"/>
    <w:basedOn w:val="Carpredefinitoparagrafo"/>
    <w:uiPriority w:val="99"/>
    <w:semiHidden/>
    <w:unhideWhenUsed/>
    <w:rsid w:val="001F16FA"/>
    <w:rPr>
      <w:color w:val="800080" w:themeColor="followedHyperlink"/>
      <w:u w:val="single"/>
    </w:rPr>
  </w:style>
  <w:style w:type="table" w:styleId="Grigliatabella">
    <w:name w:val="Table Grid"/>
    <w:basedOn w:val="Tabellanormale"/>
    <w:uiPriority w:val="39"/>
    <w:rsid w:val="0009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A0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elcaliban.org/PX_ratio.pdf" TargetMode="External"/><Relationship Id="rId4" Type="http://schemas.openxmlformats.org/officeDocument/2006/relationships/hyperlink" Target="http://www.arielcaliban.org/PX_early-statute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8</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dc:creator>
  <cp:keywords/>
  <dc:description/>
  <cp:lastModifiedBy>Silvia Gasparini</cp:lastModifiedBy>
  <cp:revision>3</cp:revision>
  <dcterms:created xsi:type="dcterms:W3CDTF">2020-12-10T20:12:00Z</dcterms:created>
  <dcterms:modified xsi:type="dcterms:W3CDTF">2020-12-10T20:13:00Z</dcterms:modified>
</cp:coreProperties>
</file>